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15515" w14:textId="294B3B9A" w:rsidR="001B58B2" w:rsidRDefault="001B58B2"/>
    <w:p w14:paraId="6A04CF1B" w14:textId="4558CFE4" w:rsidR="00DE0850" w:rsidRPr="001B58B2" w:rsidRDefault="00DD3D62">
      <w:pPr>
        <w:rPr>
          <w:rFonts w:ascii="Times" w:hAnsi="Times"/>
        </w:rPr>
      </w:pPr>
      <w:r w:rsidRPr="001B58B2">
        <w:rPr>
          <w:rFonts w:ascii="Times" w:hAnsi="Times"/>
        </w:rPr>
        <w:t>There is no</w:t>
      </w:r>
      <w:r w:rsidR="00BE1384" w:rsidRPr="001B58B2">
        <w:rPr>
          <w:rFonts w:ascii="Times" w:hAnsi="Times"/>
        </w:rPr>
        <w:t xml:space="preserve"> historical</w:t>
      </w:r>
      <w:r w:rsidRPr="001B58B2">
        <w:rPr>
          <w:rFonts w:ascii="Times" w:hAnsi="Times"/>
        </w:rPr>
        <w:t xml:space="preserve"> </w:t>
      </w:r>
      <w:r w:rsidR="009E1B12" w:rsidRPr="001B58B2">
        <w:rPr>
          <w:rFonts w:ascii="Times" w:hAnsi="Times"/>
        </w:rPr>
        <w:t>comparable period</w:t>
      </w:r>
      <w:r w:rsidRPr="001B58B2">
        <w:rPr>
          <w:rFonts w:ascii="Times" w:hAnsi="Times"/>
        </w:rPr>
        <w:t xml:space="preserve"> </w:t>
      </w:r>
      <w:r w:rsidR="009E1B12" w:rsidRPr="001B58B2">
        <w:rPr>
          <w:rFonts w:ascii="Times" w:hAnsi="Times"/>
        </w:rPr>
        <w:t>for</w:t>
      </w:r>
      <w:r w:rsidRPr="001B58B2">
        <w:rPr>
          <w:rFonts w:ascii="Times" w:hAnsi="Times"/>
        </w:rPr>
        <w:t xml:space="preserve"> Darden</w:t>
      </w:r>
      <w:r w:rsidR="001B58B2">
        <w:rPr>
          <w:rFonts w:ascii="Times" w:hAnsi="Times"/>
        </w:rPr>
        <w:t xml:space="preserve"> Restaurants</w:t>
      </w:r>
      <w:r w:rsidR="009E1B12" w:rsidRPr="001B58B2">
        <w:rPr>
          <w:rFonts w:ascii="Times" w:hAnsi="Times"/>
        </w:rPr>
        <w:t>.</w:t>
      </w:r>
      <w:r w:rsidR="00BE1384" w:rsidRPr="001B58B2">
        <w:rPr>
          <w:rFonts w:ascii="Times" w:hAnsi="Times"/>
        </w:rPr>
        <w:t xml:space="preserve"> The</w:t>
      </w:r>
      <w:r w:rsidR="003D7D48" w:rsidRPr="001B58B2">
        <w:rPr>
          <w:rFonts w:ascii="Times" w:hAnsi="Times"/>
        </w:rPr>
        <w:t>ir</w:t>
      </w:r>
      <w:r w:rsidR="00BE1384" w:rsidRPr="001B58B2">
        <w:rPr>
          <w:rFonts w:ascii="Times" w:hAnsi="Times"/>
        </w:rPr>
        <w:t xml:space="preserve"> revenue growth has been fluctuating from 1994 to 2020, but none of those periods posed reasons similar to this pandemic. The opening o</w:t>
      </w:r>
      <w:r w:rsidR="003D7D48" w:rsidRPr="001B58B2">
        <w:rPr>
          <w:rFonts w:ascii="Times" w:hAnsi="Times"/>
        </w:rPr>
        <w:t>f</w:t>
      </w:r>
      <w:r w:rsidR="00BE1384" w:rsidRPr="001B58B2">
        <w:rPr>
          <w:rFonts w:ascii="Times" w:hAnsi="Times"/>
        </w:rPr>
        <w:t xml:space="preserve"> new restaurants in 2021 will offset the losses incurred in 2020. </w:t>
      </w:r>
      <w:r w:rsidR="00B47985" w:rsidRPr="001B58B2">
        <w:rPr>
          <w:rFonts w:ascii="Times" w:hAnsi="Times"/>
        </w:rPr>
        <w:t xml:space="preserve">Stock returns for Darden has been on the rise since 2015 </w:t>
      </w:r>
      <w:r w:rsidR="003D7D48" w:rsidRPr="001B58B2">
        <w:rPr>
          <w:rFonts w:ascii="Times" w:hAnsi="Times"/>
        </w:rPr>
        <w:t>but there</w:t>
      </w:r>
      <w:r w:rsidR="00B47985" w:rsidRPr="001B58B2">
        <w:rPr>
          <w:rFonts w:ascii="Times" w:hAnsi="Times"/>
        </w:rPr>
        <w:t xml:space="preserve"> was</w:t>
      </w:r>
      <w:r w:rsidR="0040375E">
        <w:rPr>
          <w:rFonts w:ascii="Times" w:hAnsi="Times"/>
        </w:rPr>
        <w:t xml:space="preserve"> </w:t>
      </w:r>
      <w:r w:rsidR="00B47985" w:rsidRPr="001B58B2">
        <w:rPr>
          <w:rFonts w:ascii="Times" w:hAnsi="Times"/>
        </w:rPr>
        <w:t>a</w:t>
      </w:r>
      <w:r w:rsidR="0040375E">
        <w:rPr>
          <w:rFonts w:ascii="Times" w:hAnsi="Times"/>
        </w:rPr>
        <w:t>bout a 50%</w:t>
      </w:r>
      <w:r w:rsidR="00B47985" w:rsidRPr="001B58B2">
        <w:rPr>
          <w:rFonts w:ascii="Times" w:hAnsi="Times"/>
        </w:rPr>
        <w:t xml:space="preserve"> decline in the stock value</w:t>
      </w:r>
      <w:r w:rsidR="0040375E">
        <w:rPr>
          <w:rFonts w:ascii="Times" w:hAnsi="Times"/>
        </w:rPr>
        <w:t xml:space="preserve"> </w:t>
      </w:r>
      <w:r w:rsidR="00B47985" w:rsidRPr="001B58B2">
        <w:rPr>
          <w:rFonts w:ascii="Times" w:hAnsi="Times"/>
        </w:rPr>
        <w:t>on 03/01/20 due to the pandemi</w:t>
      </w:r>
      <w:r w:rsidR="00FD2EB3">
        <w:rPr>
          <w:rFonts w:ascii="Times" w:hAnsi="Times"/>
        </w:rPr>
        <w:t>c</w:t>
      </w:r>
      <w:r w:rsidR="00B47985" w:rsidRPr="001B58B2">
        <w:rPr>
          <w:rFonts w:ascii="Times" w:hAnsi="Times"/>
        </w:rPr>
        <w:t xml:space="preserve">. </w:t>
      </w:r>
      <w:r w:rsidR="009974EF" w:rsidRPr="001B58B2">
        <w:rPr>
          <w:rFonts w:ascii="Times" w:hAnsi="Times"/>
        </w:rPr>
        <w:t>For Dow, there</w:t>
      </w:r>
      <w:r w:rsidR="00F622F9" w:rsidRPr="001B58B2">
        <w:rPr>
          <w:rFonts w:ascii="Times" w:hAnsi="Times"/>
        </w:rPr>
        <w:t xml:space="preserve"> was a drastic decline in the volume MACD from February to March due to</w:t>
      </w:r>
      <w:r w:rsidR="009974EF" w:rsidRPr="001B58B2">
        <w:rPr>
          <w:rFonts w:ascii="Times" w:hAnsi="Times"/>
        </w:rPr>
        <w:t xml:space="preserve"> COVI</w:t>
      </w:r>
      <w:r w:rsidR="00B535B8" w:rsidRPr="001B58B2">
        <w:rPr>
          <w:rFonts w:ascii="Times" w:hAnsi="Times"/>
        </w:rPr>
        <w:t xml:space="preserve">D as seen in the </w:t>
      </w:r>
      <w:r w:rsidR="00FD2EB3">
        <w:rPr>
          <w:rFonts w:ascii="Times" w:hAnsi="Times"/>
        </w:rPr>
        <w:t xml:space="preserve">second </w:t>
      </w:r>
      <w:r w:rsidR="00B535B8" w:rsidRPr="001B58B2">
        <w:rPr>
          <w:rFonts w:ascii="Times" w:hAnsi="Times"/>
        </w:rPr>
        <w:t xml:space="preserve">graph. </w:t>
      </w:r>
    </w:p>
    <w:p w14:paraId="3124E458" w14:textId="77777777" w:rsidR="00DE0850" w:rsidRDefault="00DE0850"/>
    <w:p w14:paraId="3DB291D9" w14:textId="77777777" w:rsidR="00DE0850" w:rsidRDefault="00DE0850"/>
    <w:p w14:paraId="0705D6C6" w14:textId="28A5D7CC" w:rsidR="00DD3D62" w:rsidRDefault="00FD2EB3">
      <w:hyperlink r:id="rId4" w:history="1">
        <w:r w:rsidR="00DE0850" w:rsidRPr="00B30BDC">
          <w:rPr>
            <w:rStyle w:val="Hyperlink"/>
          </w:rPr>
          <w:t>https://www.marketwatch.com/investing/stock/dri</w:t>
        </w:r>
      </w:hyperlink>
      <w:r w:rsidR="00DE0850">
        <w:t xml:space="preserve"> </w:t>
      </w:r>
    </w:p>
    <w:p w14:paraId="7D547B42" w14:textId="1E1872A0" w:rsidR="00FC4B62" w:rsidRDefault="00FD2EB3">
      <w:hyperlink r:id="rId5" w:history="1">
        <w:r w:rsidR="00FC4B62" w:rsidRPr="00B30BDC">
          <w:rPr>
            <w:rStyle w:val="Hyperlink"/>
          </w:rPr>
          <w:t>https://www.marketwatch.com/investing/index/djusru/charts?countrycode=xx</w:t>
        </w:r>
      </w:hyperlink>
    </w:p>
    <w:p w14:paraId="5D89CC0A" w14:textId="77777777" w:rsidR="00FC4B62" w:rsidRDefault="00FC4B62"/>
    <w:p w14:paraId="41C05E59" w14:textId="0BF0543A" w:rsidR="00DD3D62" w:rsidRDefault="00DD3D62"/>
    <w:p w14:paraId="1DDBEB05" w14:textId="559B24DB" w:rsidR="00DD3D62" w:rsidRDefault="00DD3D62"/>
    <w:p w14:paraId="15B52531" w14:textId="6125224F" w:rsidR="00DD3D62" w:rsidRDefault="00B47985">
      <w:r>
        <w:rPr>
          <w:noProof/>
        </w:rPr>
        <w:drawing>
          <wp:inline distT="0" distB="0" distL="0" distR="0" wp14:anchorId="68A21879" wp14:editId="15F8E9FF">
            <wp:extent cx="5943600" cy="4962525"/>
            <wp:effectExtent l="0" t="0" r="0" b="3175"/>
            <wp:docPr id="1" name="Picture 1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social media pos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9402C" w14:textId="710FAE86" w:rsidR="00DD3D62" w:rsidRDefault="00DD3D62"/>
    <w:p w14:paraId="01A74305" w14:textId="08C2BF82" w:rsidR="00DD3D62" w:rsidRDefault="00DD3D62"/>
    <w:p w14:paraId="3239838B" w14:textId="3BE1C073" w:rsidR="00DD3D62" w:rsidRDefault="00FC4B62">
      <w:r>
        <w:rPr>
          <w:noProof/>
        </w:rPr>
        <w:lastRenderedPageBreak/>
        <w:drawing>
          <wp:inline distT="0" distB="0" distL="0" distR="0" wp14:anchorId="5EA0C761" wp14:editId="7EF56EBA">
            <wp:extent cx="5943600" cy="5138420"/>
            <wp:effectExtent l="0" t="0" r="0" b="5080"/>
            <wp:docPr id="2" name="Picture 2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 up of a map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3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BF4C2" w14:textId="77777777" w:rsidR="0084740A" w:rsidRDefault="0084740A"/>
    <w:sectPr w:rsidR="0084740A" w:rsidSect="00DD27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D54"/>
    <w:rsid w:val="000D4E1A"/>
    <w:rsid w:val="00152942"/>
    <w:rsid w:val="001B0F63"/>
    <w:rsid w:val="001B58B2"/>
    <w:rsid w:val="0033153F"/>
    <w:rsid w:val="003D7D48"/>
    <w:rsid w:val="0040375E"/>
    <w:rsid w:val="00437ACA"/>
    <w:rsid w:val="00563572"/>
    <w:rsid w:val="005C3960"/>
    <w:rsid w:val="00606BE2"/>
    <w:rsid w:val="00694C97"/>
    <w:rsid w:val="006E180A"/>
    <w:rsid w:val="007977E9"/>
    <w:rsid w:val="0084740A"/>
    <w:rsid w:val="009240A2"/>
    <w:rsid w:val="00962D3C"/>
    <w:rsid w:val="009974EF"/>
    <w:rsid w:val="009D4809"/>
    <w:rsid w:val="009E1B12"/>
    <w:rsid w:val="00B47985"/>
    <w:rsid w:val="00B535B8"/>
    <w:rsid w:val="00B81EE3"/>
    <w:rsid w:val="00B93AFE"/>
    <w:rsid w:val="00BE1384"/>
    <w:rsid w:val="00C73D54"/>
    <w:rsid w:val="00CD148F"/>
    <w:rsid w:val="00DA45A2"/>
    <w:rsid w:val="00DD27D6"/>
    <w:rsid w:val="00DD3D62"/>
    <w:rsid w:val="00DE0850"/>
    <w:rsid w:val="00E823DC"/>
    <w:rsid w:val="00F40495"/>
    <w:rsid w:val="00F622F9"/>
    <w:rsid w:val="00F63EEF"/>
    <w:rsid w:val="00FB6A2C"/>
    <w:rsid w:val="00FC4B62"/>
    <w:rsid w:val="00FD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43A763"/>
  <w14:defaultImageDpi w14:val="32767"/>
  <w15:chartTrackingRefBased/>
  <w15:docId w15:val="{EC35EDC7-C6A3-9D46-83DF-AA28A4DD7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74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4740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4740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DE08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9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marketwatch.com/investing/index/djusru/charts?countrycode=xx" TargetMode="External"/><Relationship Id="rId4" Type="http://schemas.openxmlformats.org/officeDocument/2006/relationships/hyperlink" Target="https://www.marketwatch.com/investing/stock/dr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Manal  Farag</dc:creator>
  <cp:keywords/>
  <dc:description/>
  <cp:lastModifiedBy>Manal  Farag</cp:lastModifiedBy>
  <cp:revision>57</cp:revision>
  <dcterms:created xsi:type="dcterms:W3CDTF">2020-09-22T17:02:00Z</dcterms:created>
  <dcterms:modified xsi:type="dcterms:W3CDTF">2020-09-23T18:54:00Z</dcterms:modified>
</cp:coreProperties>
</file>